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CC7328">
        <w:rPr>
          <w:rFonts w:ascii="Arial" w:eastAsia="宋体" w:hAnsi="Arial" w:cs="Arial"/>
          <w:b/>
          <w:sz w:val="24"/>
          <w:lang w:eastAsia="zh-CN"/>
        </w:rPr>
        <w:t>7</w:t>
      </w:r>
      <w:r w:rsidR="00707604">
        <w:rPr>
          <w:rFonts w:ascii="Arial" w:eastAsia="宋体"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w:t>
      </w:r>
      <w:r w:rsidR="00010D92">
        <w:rPr>
          <w:rFonts w:ascii="Arial" w:hAnsi="Arial"/>
          <w:b/>
          <w:sz w:val="24"/>
          <w:lang w:eastAsia="zh-CN"/>
        </w:rPr>
        <w:t>15183</w:t>
      </w:r>
      <w:bookmarkStart w:id="0" w:name="_GoBack"/>
      <w:bookmarkEnd w:id="0"/>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w:t>
      </w:r>
      <w:r w:rsidR="00CC7328">
        <w:rPr>
          <w:rFonts w:ascii="Arial" w:eastAsia="宋体" w:hAnsi="Arial"/>
          <w:b/>
          <w:sz w:val="24"/>
          <w:lang w:eastAsia="zh-CN"/>
        </w:rPr>
        <w:t>2</w:t>
      </w:r>
      <w:r w:rsidR="00CC7328">
        <w:rPr>
          <w:rFonts w:ascii="Arial" w:eastAsia="宋体" w:hAnsi="Arial"/>
          <w:b/>
          <w:sz w:val="24"/>
          <w:vertAlign w:val="superscript"/>
          <w:lang w:eastAsia="zh-CN"/>
        </w:rPr>
        <w:t>nd</w:t>
      </w:r>
      <w:r w:rsidR="00707604" w:rsidRPr="00707604">
        <w:rPr>
          <w:rFonts w:ascii="Arial" w:eastAsia="宋体" w:hAnsi="Arial"/>
          <w:b/>
          <w:sz w:val="24"/>
          <w:lang w:eastAsia="zh-CN"/>
        </w:rPr>
        <w:t xml:space="preserve"> - </w:t>
      </w:r>
      <w:r w:rsidR="00CC7328">
        <w:rPr>
          <w:rFonts w:ascii="Arial" w:eastAsia="宋体" w:hAnsi="Arial"/>
          <w:b/>
          <w:sz w:val="24"/>
          <w:lang w:eastAsia="zh-CN"/>
        </w:rPr>
        <w:t>13</w:t>
      </w:r>
      <w:r w:rsidR="00707604" w:rsidRPr="00AD5163">
        <w:rPr>
          <w:rFonts w:ascii="Arial" w:eastAsia="宋体" w:hAnsi="Arial"/>
          <w:b/>
          <w:sz w:val="24"/>
          <w:vertAlign w:val="superscript"/>
          <w:lang w:eastAsia="zh-CN"/>
        </w:rPr>
        <w:t>th</w:t>
      </w:r>
      <w:r w:rsidR="00707604" w:rsidRPr="00707604">
        <w:rPr>
          <w:rFonts w:ascii="Arial" w:eastAsia="宋体" w:hAnsi="Arial"/>
          <w:b/>
          <w:sz w:val="24"/>
          <w:lang w:eastAsia="zh-CN"/>
        </w:rPr>
        <w:t xml:space="preserve"> </w:t>
      </w:r>
      <w:r w:rsidR="00CC7328">
        <w:rPr>
          <w:rFonts w:ascii="Arial" w:eastAsia="宋体" w:hAnsi="Arial"/>
          <w:b/>
          <w:sz w:val="24"/>
          <w:lang w:eastAsia="zh-CN"/>
        </w:rPr>
        <w:t>November</w:t>
      </w:r>
      <w:r w:rsidR="00A95604">
        <w:rPr>
          <w:rFonts w:ascii="Arial" w:eastAsia="宋体" w:hAnsi="Arial"/>
          <w:b/>
          <w:sz w:val="24"/>
          <w:lang w:eastAsia="zh-CN"/>
        </w:rPr>
        <w:t>,</w:t>
      </w:r>
      <w:r w:rsidR="00707604" w:rsidRPr="00707604">
        <w:rPr>
          <w:rFonts w:ascii="Arial" w:eastAsia="宋体" w:hAnsi="Arial"/>
          <w:b/>
          <w:sz w:val="24"/>
          <w:lang w:eastAsia="zh-CN"/>
        </w:rPr>
        <w:t xml:space="preserve"> 2020</w:t>
      </w:r>
    </w:p>
    <w:p w:rsidR="00973D39" w:rsidRPr="00CC7328" w:rsidRDefault="00973D39" w:rsidP="00526E88">
      <w:pPr>
        <w:tabs>
          <w:tab w:val="left" w:pos="420"/>
          <w:tab w:val="left" w:pos="840"/>
          <w:tab w:val="left" w:pos="1260"/>
          <w:tab w:val="left" w:pos="1680"/>
          <w:tab w:val="left" w:pos="2100"/>
          <w:tab w:val="left" w:pos="2520"/>
        </w:tabs>
        <w:jc w:val="both"/>
        <w:rPr>
          <w:rFonts w:ascii="Arial" w:eastAsia="宋体" w:hAnsi="Arial"/>
          <w:b/>
          <w:sz w:val="24"/>
          <w:lang w:val="en-GB"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B95D08" w:rsidRPr="00B95D08">
        <w:rPr>
          <w:rFonts w:eastAsia="宋体"/>
          <w:sz w:val="24"/>
          <w:lang w:val="en-US" w:eastAsia="zh-CN"/>
        </w:rPr>
        <w:t>Rel-16 NR HST BS demodulation requirements</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B95D08">
        <w:rPr>
          <w:rFonts w:eastAsia="宋体"/>
          <w:sz w:val="24"/>
          <w:lang w:val="en-US" w:eastAsia="zh-CN"/>
        </w:rPr>
        <w:t>7</w:t>
      </w:r>
      <w:r w:rsidR="00722CE4">
        <w:rPr>
          <w:rFonts w:eastAsia="宋体"/>
          <w:sz w:val="24"/>
          <w:lang w:val="en-US" w:eastAsia="zh-CN"/>
        </w:rPr>
        <w:t>.</w:t>
      </w:r>
      <w:r w:rsidR="00B95D08">
        <w:rPr>
          <w:rFonts w:eastAsia="宋体"/>
          <w:sz w:val="24"/>
          <w:lang w:val="en-US" w:eastAsia="zh-CN"/>
        </w:rPr>
        <w:t>15</w:t>
      </w:r>
      <w:r w:rsidR="00722CE4">
        <w:rPr>
          <w:rFonts w:eastAsia="宋体"/>
          <w:sz w:val="24"/>
          <w:lang w:val="en-US" w:eastAsia="zh-CN"/>
        </w:rPr>
        <w:t>.</w:t>
      </w:r>
      <w:r w:rsidR="00B95D08">
        <w:rPr>
          <w:rFonts w:eastAsia="宋体"/>
          <w:sz w:val="24"/>
          <w:lang w:val="en-US" w:eastAsia="zh-CN"/>
        </w:rPr>
        <w:t>3.2</w:t>
      </w:r>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FF18B3">
        <w:rPr>
          <w:rFonts w:eastAsia="宋体"/>
          <w:sz w:val="24"/>
          <w:lang w:val="en-US" w:eastAsia="zh-CN"/>
        </w:rPr>
        <w:t>Dis</w:t>
      </w:r>
      <w:r w:rsidR="00722CE4">
        <w:rPr>
          <w:rFonts w:eastAsia="宋体"/>
          <w:sz w:val="24"/>
          <w:lang w:val="en-US" w:eastAsia="zh-CN"/>
        </w:rPr>
        <w:t>c</w:t>
      </w:r>
      <w:r w:rsidR="00FF18B3">
        <w:rPr>
          <w:rFonts w:eastAsia="宋体"/>
          <w:sz w:val="24"/>
          <w:lang w:val="en-US" w:eastAsia="zh-CN"/>
        </w:rPr>
        <w:t>u</w:t>
      </w:r>
      <w:r w:rsidR="00722CE4">
        <w:rPr>
          <w:rFonts w:eastAsia="宋体"/>
          <w:sz w:val="24"/>
          <w:lang w:val="en-US" w:eastAsia="zh-CN"/>
        </w:rPr>
        <w:t>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B440FF" w:rsidRDefault="0004074F"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 xml:space="preserve">In RAN4#96e, a WF </w:t>
      </w:r>
      <w:r w:rsidR="009A2886">
        <w:rPr>
          <w:rFonts w:eastAsia="宋体"/>
          <w:sz w:val="21"/>
          <w:szCs w:val="21"/>
          <w:lang w:val="en-US" w:eastAsia="zh-CN"/>
        </w:rPr>
        <w:t>was approved on BS demodulation requirements for NR HST [1]</w:t>
      </w:r>
      <w:r w:rsidR="003845B4">
        <w:rPr>
          <w:rFonts w:eastAsia="宋体"/>
          <w:sz w:val="21"/>
          <w:szCs w:val="21"/>
          <w:lang w:val="en-US" w:eastAsia="zh-CN"/>
        </w:rPr>
        <w:t>.</w:t>
      </w:r>
      <w:r w:rsidR="009A2886">
        <w:rPr>
          <w:rFonts w:eastAsia="宋体"/>
          <w:sz w:val="21"/>
          <w:szCs w:val="21"/>
          <w:lang w:val="en-US" w:eastAsia="zh-CN"/>
        </w:rPr>
        <w:t xml:space="preserve"> And the following issues are still open for further discussion:</w:t>
      </w:r>
      <w:r w:rsidR="003845B4">
        <w:rPr>
          <w:rFonts w:eastAsia="宋体"/>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rsidTr="00517A56">
        <w:tc>
          <w:tcPr>
            <w:tcW w:w="9288" w:type="dxa"/>
          </w:tcPr>
          <w:p w:rsidR="002D3BBC" w:rsidRPr="002D3BBC" w:rsidRDefault="002D3BBC" w:rsidP="002D3BBC">
            <w:pPr>
              <w:pStyle w:val="ListParagraph"/>
              <w:numPr>
                <w:ilvl w:val="0"/>
                <w:numId w:val="30"/>
              </w:numPr>
              <w:overflowPunct w:val="0"/>
              <w:autoSpaceDE w:val="0"/>
              <w:autoSpaceDN w:val="0"/>
              <w:adjustRightInd w:val="0"/>
              <w:ind w:firstLineChars="0"/>
              <w:textAlignment w:val="baseline"/>
              <w:rPr>
                <w:i/>
                <w:szCs w:val="21"/>
              </w:rPr>
            </w:pPr>
            <w:r w:rsidRPr="002D3BBC">
              <w:rPr>
                <w:i/>
                <w:szCs w:val="21"/>
              </w:rPr>
              <w:t>Specification drafting of multi-path fading requirements</w:t>
            </w:r>
          </w:p>
          <w:p w:rsidR="002D3BBC" w:rsidRPr="002D3BBC" w:rsidRDefault="002D3BBC" w:rsidP="002D3BBC">
            <w:pPr>
              <w:pStyle w:val="ListParagraph"/>
              <w:numPr>
                <w:ilvl w:val="1"/>
                <w:numId w:val="30"/>
              </w:numPr>
              <w:overflowPunct w:val="0"/>
              <w:autoSpaceDE w:val="0"/>
              <w:autoSpaceDN w:val="0"/>
              <w:adjustRightInd w:val="0"/>
              <w:ind w:firstLineChars="0"/>
              <w:textAlignment w:val="baseline"/>
              <w:rPr>
                <w:i/>
                <w:szCs w:val="21"/>
              </w:rPr>
            </w:pPr>
            <w:r w:rsidRPr="002D3BBC">
              <w:rPr>
                <w:i/>
                <w:szCs w:val="21"/>
              </w:rPr>
              <w:t>Option 2: Introduce multi-path fading channel requirements with high Doppler value into the section “8.2.1 Performance requirement for PUSCH with transform precoding disabled”</w:t>
            </w:r>
          </w:p>
          <w:p w:rsidR="00517A56" w:rsidRPr="0021328B" w:rsidRDefault="002D3BBC" w:rsidP="002D3BBC">
            <w:pPr>
              <w:pStyle w:val="ListParagraph"/>
              <w:numPr>
                <w:ilvl w:val="1"/>
                <w:numId w:val="30"/>
              </w:numPr>
              <w:overflowPunct w:val="0"/>
              <w:autoSpaceDE w:val="0"/>
              <w:autoSpaceDN w:val="0"/>
              <w:adjustRightInd w:val="0"/>
              <w:ind w:firstLineChars="0"/>
              <w:textAlignment w:val="baseline"/>
              <w:rPr>
                <w:i/>
                <w:szCs w:val="21"/>
              </w:rPr>
            </w:pPr>
            <w:r w:rsidRPr="0021328B">
              <w:rPr>
                <w:rFonts w:ascii="Times New Roman" w:eastAsia="Times New Roman" w:hAnsi="Times New Roman"/>
                <w:i/>
                <w:kern w:val="0"/>
                <w:sz w:val="20"/>
                <w:szCs w:val="21"/>
                <w:lang w:eastAsia="en-US"/>
              </w:rPr>
              <w:t>Option 3: Introduce multi-path fading channel requirements with high Doppler value in a separate table under section “8.2.4 Requirements for PUSCH for high speed train”</w:t>
            </w:r>
          </w:p>
          <w:p w:rsidR="002D3BBC" w:rsidRPr="0021328B" w:rsidRDefault="00B45881" w:rsidP="00B45881">
            <w:pPr>
              <w:pStyle w:val="ListParagraph"/>
              <w:numPr>
                <w:ilvl w:val="0"/>
                <w:numId w:val="30"/>
              </w:numPr>
              <w:overflowPunct w:val="0"/>
              <w:autoSpaceDE w:val="0"/>
              <w:autoSpaceDN w:val="0"/>
              <w:adjustRightInd w:val="0"/>
              <w:ind w:firstLineChars="0"/>
              <w:textAlignment w:val="baseline"/>
              <w:rPr>
                <w:i/>
                <w:szCs w:val="21"/>
              </w:rPr>
            </w:pPr>
            <w:r w:rsidRPr="0021328B">
              <w:rPr>
                <w:i/>
                <w:szCs w:val="21"/>
              </w:rPr>
              <w:t>UL TA - Additional scenario “X”</w:t>
            </w:r>
          </w:p>
          <w:p w:rsidR="00B45881" w:rsidRPr="00B45881" w:rsidRDefault="00B45881" w:rsidP="00B45881">
            <w:pPr>
              <w:pStyle w:val="ListParagraph"/>
              <w:numPr>
                <w:ilvl w:val="1"/>
                <w:numId w:val="30"/>
              </w:numPr>
              <w:overflowPunct w:val="0"/>
              <w:autoSpaceDE w:val="0"/>
              <w:autoSpaceDN w:val="0"/>
              <w:adjustRightInd w:val="0"/>
              <w:ind w:firstLineChars="0"/>
              <w:textAlignment w:val="baseline"/>
              <w:rPr>
                <w:i/>
                <w:szCs w:val="21"/>
              </w:rPr>
            </w:pPr>
            <w:r w:rsidRPr="00B45881">
              <w:rPr>
                <w:i/>
                <w:szCs w:val="21"/>
              </w:rPr>
              <w:t>SCS/CBW combinations</w:t>
            </w:r>
          </w:p>
          <w:p w:rsidR="00B45881" w:rsidRPr="00B45881" w:rsidRDefault="00B45881" w:rsidP="00B45881">
            <w:pPr>
              <w:pStyle w:val="ListParagraph"/>
              <w:numPr>
                <w:ilvl w:val="2"/>
                <w:numId w:val="30"/>
              </w:numPr>
              <w:overflowPunct w:val="0"/>
              <w:autoSpaceDE w:val="0"/>
              <w:autoSpaceDN w:val="0"/>
              <w:adjustRightInd w:val="0"/>
              <w:ind w:firstLineChars="0"/>
              <w:textAlignment w:val="baseline"/>
              <w:rPr>
                <w:i/>
                <w:szCs w:val="21"/>
              </w:rPr>
            </w:pPr>
            <w:r w:rsidRPr="00B45881">
              <w:rPr>
                <w:i/>
                <w:szCs w:val="21"/>
              </w:rPr>
              <w:t>Option 1: Have requirements for</w:t>
            </w:r>
            <w:r w:rsidRPr="0021328B">
              <w:rPr>
                <w:i/>
                <w:szCs w:val="21"/>
              </w:rPr>
              <w:t xml:space="preserve"> </w:t>
            </w:r>
            <w:r w:rsidRPr="00B45881">
              <w:rPr>
                <w:i/>
                <w:szCs w:val="21"/>
              </w:rPr>
              <w:t>15kHz: 10MHz/5MHz; 30kHz: 40MHz/10MHz.</w:t>
            </w:r>
          </w:p>
          <w:p w:rsidR="00B45881" w:rsidRPr="00B45881" w:rsidRDefault="00B45881" w:rsidP="00B45881">
            <w:pPr>
              <w:pStyle w:val="ListParagraph"/>
              <w:numPr>
                <w:ilvl w:val="2"/>
                <w:numId w:val="30"/>
              </w:numPr>
              <w:overflowPunct w:val="0"/>
              <w:autoSpaceDE w:val="0"/>
              <w:autoSpaceDN w:val="0"/>
              <w:adjustRightInd w:val="0"/>
              <w:ind w:firstLineChars="0"/>
              <w:textAlignment w:val="baseline"/>
              <w:rPr>
                <w:i/>
                <w:szCs w:val="21"/>
              </w:rPr>
            </w:pPr>
            <w:r w:rsidRPr="00B45881">
              <w:rPr>
                <w:i/>
                <w:szCs w:val="21"/>
              </w:rPr>
              <w:t>Option 2: Have requirements for</w:t>
            </w:r>
            <w:r w:rsidRPr="0021328B">
              <w:rPr>
                <w:i/>
                <w:szCs w:val="21"/>
              </w:rPr>
              <w:t xml:space="preserve"> </w:t>
            </w:r>
            <w:r w:rsidRPr="00B45881">
              <w:rPr>
                <w:i/>
                <w:szCs w:val="21"/>
              </w:rPr>
              <w:t>15kHz: 5MHz; 30kHz: 10MHz.</w:t>
            </w:r>
          </w:p>
          <w:p w:rsidR="00B45881" w:rsidRPr="00B45881" w:rsidRDefault="00B45881" w:rsidP="00B45881">
            <w:pPr>
              <w:pStyle w:val="ListParagraph"/>
              <w:numPr>
                <w:ilvl w:val="2"/>
                <w:numId w:val="30"/>
              </w:numPr>
              <w:overflowPunct w:val="0"/>
              <w:autoSpaceDE w:val="0"/>
              <w:autoSpaceDN w:val="0"/>
              <w:adjustRightInd w:val="0"/>
              <w:ind w:firstLineChars="0"/>
              <w:textAlignment w:val="baseline"/>
              <w:rPr>
                <w:i/>
                <w:szCs w:val="21"/>
              </w:rPr>
            </w:pPr>
            <w:r w:rsidRPr="00B45881">
              <w:rPr>
                <w:i/>
                <w:szCs w:val="21"/>
              </w:rPr>
              <w:t>Option 3: Have requirements for all Rel-15 non-HST PUSCH bandwidths.</w:t>
            </w:r>
          </w:p>
          <w:p w:rsidR="00B45881" w:rsidRPr="0021328B" w:rsidRDefault="00B45881" w:rsidP="00B45881">
            <w:pPr>
              <w:pStyle w:val="ListParagraph"/>
              <w:numPr>
                <w:ilvl w:val="2"/>
                <w:numId w:val="30"/>
              </w:numPr>
              <w:overflowPunct w:val="0"/>
              <w:autoSpaceDE w:val="0"/>
              <w:autoSpaceDN w:val="0"/>
              <w:adjustRightInd w:val="0"/>
              <w:ind w:firstLineChars="0"/>
              <w:textAlignment w:val="baseline"/>
              <w:rPr>
                <w:i/>
                <w:szCs w:val="21"/>
              </w:rPr>
            </w:pPr>
            <w:r w:rsidRPr="00B45881">
              <w:rPr>
                <w:i/>
                <w:szCs w:val="21"/>
              </w:rPr>
              <w:t>Other options not precluded.</w:t>
            </w:r>
          </w:p>
          <w:p w:rsidR="00B45881" w:rsidRPr="00B45881" w:rsidRDefault="00B45881" w:rsidP="00B45881">
            <w:pPr>
              <w:pStyle w:val="ListParagraph"/>
              <w:numPr>
                <w:ilvl w:val="1"/>
                <w:numId w:val="30"/>
              </w:numPr>
              <w:overflowPunct w:val="0"/>
              <w:autoSpaceDE w:val="0"/>
              <w:autoSpaceDN w:val="0"/>
              <w:adjustRightInd w:val="0"/>
              <w:ind w:firstLineChars="0"/>
              <w:textAlignment w:val="baseline"/>
              <w:rPr>
                <w:i/>
                <w:szCs w:val="21"/>
              </w:rPr>
            </w:pPr>
            <w:r w:rsidRPr="00B45881">
              <w:rPr>
                <w:i/>
                <w:szCs w:val="21"/>
              </w:rPr>
              <w:t>Applicability rules concerning SCS/CBW</w:t>
            </w:r>
          </w:p>
          <w:p w:rsidR="00B45881" w:rsidRPr="00B45881" w:rsidRDefault="00B45881" w:rsidP="00B45881">
            <w:pPr>
              <w:pStyle w:val="ListParagraph"/>
              <w:numPr>
                <w:ilvl w:val="2"/>
                <w:numId w:val="30"/>
              </w:numPr>
              <w:overflowPunct w:val="0"/>
              <w:autoSpaceDE w:val="0"/>
              <w:autoSpaceDN w:val="0"/>
              <w:adjustRightInd w:val="0"/>
              <w:ind w:firstLineChars="0"/>
              <w:textAlignment w:val="baseline"/>
              <w:rPr>
                <w:i/>
                <w:szCs w:val="21"/>
              </w:rPr>
            </w:pPr>
            <w:r w:rsidRPr="00B45881">
              <w:rPr>
                <w:i/>
                <w:szCs w:val="21"/>
              </w:rPr>
              <w:t>Option 1: Re-use non-HST PUSCH applicability rules.</w:t>
            </w:r>
          </w:p>
          <w:p w:rsidR="00B45881" w:rsidRPr="00B45881" w:rsidRDefault="00B45881" w:rsidP="00B45881">
            <w:pPr>
              <w:pStyle w:val="ListParagraph"/>
              <w:numPr>
                <w:ilvl w:val="2"/>
                <w:numId w:val="30"/>
              </w:numPr>
              <w:overflowPunct w:val="0"/>
              <w:autoSpaceDE w:val="0"/>
              <w:autoSpaceDN w:val="0"/>
              <w:adjustRightInd w:val="0"/>
              <w:ind w:firstLineChars="0"/>
              <w:textAlignment w:val="baseline"/>
              <w:rPr>
                <w:i/>
                <w:szCs w:val="21"/>
              </w:rPr>
            </w:pPr>
            <w:r w:rsidRPr="00B45881">
              <w:rPr>
                <w:i/>
                <w:szCs w:val="21"/>
              </w:rPr>
              <w:t>Option 2: Re-use HST PUSCH applicability rules.</w:t>
            </w:r>
          </w:p>
          <w:p w:rsidR="00B45881" w:rsidRPr="0029009C" w:rsidRDefault="00B45881" w:rsidP="0029009C">
            <w:pPr>
              <w:pStyle w:val="ListParagraph"/>
              <w:numPr>
                <w:ilvl w:val="2"/>
                <w:numId w:val="30"/>
              </w:numPr>
              <w:overflowPunct w:val="0"/>
              <w:autoSpaceDE w:val="0"/>
              <w:autoSpaceDN w:val="0"/>
              <w:adjustRightInd w:val="0"/>
              <w:ind w:firstLineChars="0"/>
              <w:textAlignment w:val="baseline"/>
              <w:rPr>
                <w:szCs w:val="21"/>
              </w:rPr>
            </w:pPr>
            <w:r w:rsidRPr="0021328B">
              <w:rPr>
                <w:rFonts w:ascii="Times New Roman" w:eastAsia="Times New Roman" w:hAnsi="Times New Roman"/>
                <w:i/>
                <w:kern w:val="0"/>
                <w:sz w:val="20"/>
                <w:szCs w:val="21"/>
                <w:lang w:eastAsia="en-US"/>
              </w:rPr>
              <w:t>Other options not precluded.</w:t>
            </w:r>
          </w:p>
        </w:tc>
      </w:tr>
    </w:tbl>
    <w:p w:rsidR="0019214A" w:rsidRPr="0019214A" w:rsidRDefault="005F1F83"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These open issues are discussed further in Section 2.</w:t>
      </w:r>
    </w:p>
    <w:p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C843B5" w:rsidRDefault="00704324"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As discussed in RAN4#96-e, the proper modelling on multi-path channel under HST scenarios requires further study, however, due to the limited time left and for the sake of progress, two multipath channel models used in non-HST cases are reused with zero frequency offset for HST scenarios:</w:t>
      </w:r>
      <w:r w:rsidR="0053259A" w:rsidRPr="0053259A">
        <w:rPr>
          <w:rFonts w:eastAsia="Times New Roman"/>
          <w:lang w:val="en-US"/>
        </w:rPr>
        <w:t xml:space="preserve"> </w:t>
      </w:r>
      <w:r w:rsidR="0053259A">
        <w:rPr>
          <w:rFonts w:eastAsia="宋体"/>
          <w:bCs/>
          <w:sz w:val="21"/>
          <w:szCs w:val="21"/>
          <w:lang w:val="en-GB" w:eastAsia="zh-CN"/>
        </w:rPr>
        <w:t xml:space="preserve">TDLC300-600 FO=0Hz, </w:t>
      </w:r>
      <w:r w:rsidR="0053259A" w:rsidRPr="0053259A">
        <w:rPr>
          <w:rFonts w:eastAsia="宋体"/>
          <w:bCs/>
          <w:sz w:val="21"/>
          <w:szCs w:val="21"/>
          <w:lang w:val="en-GB" w:eastAsia="zh-CN"/>
        </w:rPr>
        <w:t>TDLC300-1200 FO=0Hz</w:t>
      </w:r>
      <w:r w:rsidR="00C7615C">
        <w:rPr>
          <w:rFonts w:eastAsia="宋体"/>
          <w:bCs/>
          <w:sz w:val="21"/>
          <w:szCs w:val="21"/>
          <w:lang w:val="en-GB" w:eastAsia="zh-CN"/>
        </w:rPr>
        <w:t xml:space="preserve"> [2]</w:t>
      </w:r>
      <w:r w:rsidR="0053259A">
        <w:rPr>
          <w:rFonts w:eastAsia="宋体"/>
          <w:bCs/>
          <w:sz w:val="21"/>
          <w:szCs w:val="21"/>
          <w:lang w:val="en-GB" w:eastAsia="zh-CN"/>
        </w:rPr>
        <w:t>.</w:t>
      </w:r>
    </w:p>
    <w:p w:rsidR="00811BE6" w:rsidRDefault="00C843B5"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One may argue that since such </w:t>
      </w:r>
      <w:r w:rsidR="00707C3E">
        <w:rPr>
          <w:rFonts w:eastAsia="宋体"/>
          <w:bCs/>
          <w:sz w:val="21"/>
          <w:szCs w:val="21"/>
          <w:lang w:val="en-GB" w:eastAsia="zh-CN"/>
        </w:rPr>
        <w:t xml:space="preserve">non-HST </w:t>
      </w:r>
      <w:r>
        <w:rPr>
          <w:rFonts w:eastAsia="宋体"/>
          <w:bCs/>
          <w:sz w:val="21"/>
          <w:szCs w:val="21"/>
          <w:lang w:val="en-GB" w:eastAsia="zh-CN"/>
        </w:rPr>
        <w:t xml:space="preserve">channel modes are reused with just different Doppler values, the corresponding performance requirements </w:t>
      </w:r>
      <w:r w:rsidR="00F00F12">
        <w:rPr>
          <w:rFonts w:eastAsia="宋体"/>
          <w:bCs/>
          <w:sz w:val="21"/>
          <w:szCs w:val="21"/>
          <w:lang w:val="en-GB" w:eastAsia="zh-CN"/>
        </w:rPr>
        <w:t>should</w:t>
      </w:r>
      <w:r>
        <w:rPr>
          <w:rFonts w:eastAsia="宋体"/>
          <w:bCs/>
          <w:sz w:val="21"/>
          <w:szCs w:val="21"/>
          <w:lang w:val="en-GB" w:eastAsia="zh-CN"/>
        </w:rPr>
        <w:t xml:space="preserve"> be captured in non-HST sections in the specs. However, the ultimate purpose of introducing such performance requirements with high Doppler values is for an HST scenario, readers tend to look up all performance requirements related to HST scenarios in the same section, otherwise, it would cause confusion if it is captured in a non-HST section.</w:t>
      </w:r>
    </w:p>
    <w:p w:rsidR="009C0ACA" w:rsidRDefault="00D93AFA" w:rsidP="009C0ACA">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sidR="00AE4BA5">
        <w:rPr>
          <w:rFonts w:eastAsia="宋体"/>
          <w:b/>
          <w:bCs/>
          <w:sz w:val="21"/>
          <w:szCs w:val="21"/>
          <w:lang w:val="en-GB" w:eastAsia="zh-CN"/>
        </w:rPr>
        <w:t xml:space="preserve"> </w:t>
      </w:r>
      <w:r w:rsidR="00DF7D25">
        <w:rPr>
          <w:rFonts w:eastAsia="宋体"/>
          <w:b/>
          <w:bCs/>
          <w:sz w:val="21"/>
          <w:szCs w:val="21"/>
          <w:lang w:val="en-GB" w:eastAsia="zh-CN"/>
        </w:rPr>
        <w:t>1</w:t>
      </w:r>
      <w:r w:rsidRPr="009C0ACA">
        <w:rPr>
          <w:rFonts w:eastAsia="宋体"/>
          <w:b/>
          <w:bCs/>
          <w:sz w:val="21"/>
          <w:szCs w:val="21"/>
          <w:lang w:val="en-GB" w:eastAsia="zh-CN"/>
        </w:rPr>
        <w:t xml:space="preserve">: </w:t>
      </w:r>
      <w:r w:rsidR="00DF7D25">
        <w:rPr>
          <w:rFonts w:eastAsia="宋体"/>
          <w:b/>
          <w:bCs/>
          <w:sz w:val="21"/>
          <w:szCs w:val="21"/>
          <w:lang w:val="en-GB" w:eastAsia="zh-CN"/>
        </w:rPr>
        <w:t xml:space="preserve">Capture performance requirements for multipath fading with high Doppler values in the </w:t>
      </w:r>
      <w:r w:rsidR="007B39FF">
        <w:rPr>
          <w:rFonts w:eastAsia="宋体"/>
          <w:b/>
          <w:bCs/>
          <w:sz w:val="21"/>
          <w:szCs w:val="21"/>
          <w:lang w:val="en-GB" w:eastAsia="zh-CN"/>
        </w:rPr>
        <w:t xml:space="preserve">relevant </w:t>
      </w:r>
      <w:r w:rsidR="00DF7D25">
        <w:rPr>
          <w:rFonts w:eastAsia="宋体"/>
          <w:b/>
          <w:bCs/>
          <w:sz w:val="21"/>
          <w:szCs w:val="21"/>
          <w:lang w:val="en-GB" w:eastAsia="zh-CN"/>
        </w:rPr>
        <w:t xml:space="preserve">HST section in order to avoid confusion. </w:t>
      </w:r>
    </w:p>
    <w:p w:rsidR="00DF7D25" w:rsidRPr="00DF7D25" w:rsidRDefault="003E764F"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Regarding the addition of scenario X to UL TA, RAN4 has reached an agreement that </w:t>
      </w:r>
      <w:r w:rsidRPr="003E764F">
        <w:rPr>
          <w:rFonts w:eastAsia="宋体"/>
          <w:bCs/>
          <w:sz w:val="21"/>
          <w:szCs w:val="21"/>
          <w:lang w:val="en-GB" w:eastAsia="zh-CN"/>
        </w:rPr>
        <w:t xml:space="preserve">scenario X requirements </w:t>
      </w:r>
      <w:r>
        <w:rPr>
          <w:rFonts w:eastAsia="宋体"/>
          <w:bCs/>
          <w:sz w:val="21"/>
          <w:szCs w:val="21"/>
          <w:lang w:val="en-GB" w:eastAsia="zh-CN"/>
        </w:rPr>
        <w:t xml:space="preserve">are introduced </w:t>
      </w:r>
      <w:r w:rsidRPr="003E764F">
        <w:rPr>
          <w:rFonts w:eastAsia="宋体"/>
          <w:bCs/>
          <w:sz w:val="21"/>
          <w:szCs w:val="21"/>
          <w:lang w:val="en-GB" w:eastAsia="zh-CN"/>
        </w:rPr>
        <w:t xml:space="preserve">under rel-16 HST WI, </w:t>
      </w:r>
      <w:r>
        <w:rPr>
          <w:rFonts w:eastAsia="宋体"/>
          <w:bCs/>
          <w:sz w:val="21"/>
          <w:szCs w:val="21"/>
          <w:lang w:val="en-GB" w:eastAsia="zh-CN"/>
        </w:rPr>
        <w:t xml:space="preserve">but </w:t>
      </w:r>
      <w:r w:rsidRPr="003E764F">
        <w:rPr>
          <w:rFonts w:eastAsia="宋体"/>
          <w:bCs/>
          <w:sz w:val="21"/>
          <w:szCs w:val="21"/>
          <w:lang w:val="en-GB" w:eastAsia="zh-CN"/>
        </w:rPr>
        <w:t>add</w:t>
      </w:r>
      <w:r>
        <w:rPr>
          <w:rFonts w:eastAsia="宋体"/>
          <w:bCs/>
          <w:sz w:val="21"/>
          <w:szCs w:val="21"/>
          <w:lang w:val="en-GB" w:eastAsia="zh-CN"/>
        </w:rPr>
        <w:t>ed</w:t>
      </w:r>
      <w:r w:rsidRPr="003E764F">
        <w:rPr>
          <w:rFonts w:eastAsia="宋体"/>
          <w:bCs/>
          <w:sz w:val="21"/>
          <w:szCs w:val="21"/>
          <w:lang w:val="en-GB" w:eastAsia="zh-CN"/>
        </w:rPr>
        <w:t xml:space="preserve"> in non-HST sect</w:t>
      </w:r>
      <w:r w:rsidR="006A4F46">
        <w:rPr>
          <w:rFonts w:eastAsia="宋体"/>
          <w:bCs/>
          <w:sz w:val="21"/>
          <w:szCs w:val="21"/>
          <w:lang w:val="en-GB" w:eastAsia="zh-CN"/>
        </w:rPr>
        <w:t xml:space="preserve">ions/tables to avoid misleading, though an implicit test passing rule is also agreed, i.e., if Scenario Y or Z is passed for a BS declaring such support, </w:t>
      </w:r>
      <w:r w:rsidR="006A4F46">
        <w:rPr>
          <w:rFonts w:eastAsia="宋体"/>
          <w:bCs/>
          <w:sz w:val="21"/>
          <w:szCs w:val="21"/>
          <w:lang w:val="en-GB" w:eastAsia="zh-CN"/>
        </w:rPr>
        <w:lastRenderedPageBreak/>
        <w:t>Scenario X is also assumed to be passed</w:t>
      </w:r>
      <w:r w:rsidR="005F4EE6">
        <w:rPr>
          <w:rFonts w:eastAsia="宋体"/>
          <w:bCs/>
          <w:sz w:val="21"/>
          <w:szCs w:val="21"/>
          <w:lang w:val="en-GB" w:eastAsia="zh-CN"/>
        </w:rPr>
        <w:t xml:space="preserve"> since Scenario X is not treated as an HST scenario</w:t>
      </w:r>
      <w:r w:rsidR="006A4F46">
        <w:rPr>
          <w:rFonts w:eastAsia="宋体"/>
          <w:bCs/>
          <w:sz w:val="21"/>
          <w:szCs w:val="21"/>
          <w:lang w:val="en-GB" w:eastAsia="zh-CN"/>
        </w:rPr>
        <w:t>.</w:t>
      </w:r>
      <w:r w:rsidR="005F4EE6">
        <w:rPr>
          <w:rFonts w:eastAsia="宋体"/>
          <w:bCs/>
          <w:sz w:val="21"/>
          <w:szCs w:val="21"/>
          <w:lang w:val="en-GB" w:eastAsia="zh-CN"/>
        </w:rPr>
        <w:t xml:space="preserve"> In this case, the applicability rule should also be aligned with this agreement that non-HST PUSCH applicability rule is reused. And for the SCS/CBW combinations, at least the minimum channel bandwidth for all operating bands should be covered, so Option 1 would be preferred.</w:t>
      </w:r>
      <w:r w:rsidR="006A4F46">
        <w:rPr>
          <w:rFonts w:eastAsia="宋体"/>
          <w:bCs/>
          <w:sz w:val="21"/>
          <w:szCs w:val="21"/>
          <w:lang w:val="en-GB" w:eastAsia="zh-CN"/>
        </w:rPr>
        <w:t xml:space="preserve"> </w:t>
      </w:r>
    </w:p>
    <w:p w:rsidR="005F4EE6" w:rsidRPr="00DE3EBB" w:rsidRDefault="005F4EE6" w:rsidP="009C0ACA">
      <w:pPr>
        <w:pStyle w:val="BodyText"/>
        <w:tabs>
          <w:tab w:val="num" w:pos="226"/>
          <w:tab w:val="num" w:pos="284"/>
          <w:tab w:val="left" w:pos="5103"/>
        </w:tabs>
        <w:snapToGrid w:val="0"/>
        <w:rPr>
          <w:rFonts w:eastAsia="宋体"/>
          <w:b/>
          <w:bCs/>
          <w:sz w:val="21"/>
          <w:szCs w:val="21"/>
          <w:lang w:val="en-GB" w:eastAsia="zh-CN"/>
        </w:rPr>
      </w:pPr>
      <w:r w:rsidRPr="00DE3EBB">
        <w:rPr>
          <w:rFonts w:eastAsia="宋体"/>
          <w:b/>
          <w:bCs/>
          <w:sz w:val="21"/>
          <w:szCs w:val="21"/>
          <w:lang w:val="en-GB" w:eastAsia="zh-CN"/>
        </w:rPr>
        <w:t>Proposal 2: Have requirements for 15kHz: 10MHz/5MHz; 30kHz: 40MHz/10MHz in order to cover the minimum channel bandwidth for all operating bands.</w:t>
      </w:r>
    </w:p>
    <w:p w:rsidR="00DF7D25" w:rsidRPr="00DE3EBB" w:rsidRDefault="005F4EE6" w:rsidP="009C0ACA">
      <w:pPr>
        <w:pStyle w:val="BodyText"/>
        <w:tabs>
          <w:tab w:val="num" w:pos="226"/>
          <w:tab w:val="num" w:pos="284"/>
          <w:tab w:val="left" w:pos="5103"/>
        </w:tabs>
        <w:snapToGrid w:val="0"/>
        <w:rPr>
          <w:rFonts w:eastAsia="宋体"/>
          <w:b/>
          <w:bCs/>
          <w:sz w:val="21"/>
          <w:szCs w:val="21"/>
          <w:lang w:val="en-GB" w:eastAsia="zh-CN"/>
        </w:rPr>
      </w:pPr>
      <w:r w:rsidRPr="00DE3EBB">
        <w:rPr>
          <w:rFonts w:eastAsia="宋体"/>
          <w:b/>
          <w:bCs/>
          <w:sz w:val="21"/>
          <w:szCs w:val="21"/>
          <w:lang w:val="en-GB" w:eastAsia="zh-CN"/>
        </w:rPr>
        <w:t>Proposal 3: Re-use non-HST PUSCH applicability for UL TA performance requirements for Scenario X.</w:t>
      </w:r>
    </w:p>
    <w:p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lang w:val="en-US" w:eastAsia="zh-CN"/>
        </w:rPr>
        <w:t>Conclusion</w:t>
      </w:r>
    </w:p>
    <w:p w:rsidR="003E361E" w:rsidRDefault="009C0ACA" w:rsidP="009B2891">
      <w:pPr>
        <w:pStyle w:val="BodyText"/>
        <w:tabs>
          <w:tab w:val="num" w:pos="226"/>
          <w:tab w:val="num" w:pos="284"/>
          <w:tab w:val="left" w:pos="5103"/>
        </w:tabs>
        <w:snapToGrid w:val="0"/>
        <w:rPr>
          <w:rFonts w:eastAsia="宋体"/>
          <w:bCs/>
          <w:sz w:val="21"/>
          <w:szCs w:val="21"/>
          <w:lang w:val="en-GB" w:eastAsia="zh-CN"/>
        </w:rPr>
      </w:pPr>
      <w:r w:rsidRPr="009C0ACA">
        <w:rPr>
          <w:rFonts w:eastAsia="宋体"/>
          <w:bCs/>
          <w:sz w:val="21"/>
          <w:szCs w:val="21"/>
          <w:lang w:val="en-GB" w:eastAsia="zh-CN"/>
        </w:rPr>
        <w:t xml:space="preserve">In this </w:t>
      </w:r>
      <w:r>
        <w:rPr>
          <w:rFonts w:eastAsia="宋体"/>
          <w:bCs/>
          <w:sz w:val="21"/>
          <w:szCs w:val="21"/>
          <w:lang w:val="en-GB" w:eastAsia="zh-CN"/>
        </w:rPr>
        <w:t>paper, we have the following proposal</w:t>
      </w:r>
      <w:r w:rsidR="00977003">
        <w:rPr>
          <w:rFonts w:eastAsia="宋体"/>
          <w:bCs/>
          <w:sz w:val="21"/>
          <w:szCs w:val="21"/>
          <w:lang w:val="en-GB" w:eastAsia="zh-CN"/>
        </w:rPr>
        <w:t>s</w:t>
      </w:r>
      <w:r>
        <w:rPr>
          <w:rFonts w:eastAsia="宋体"/>
          <w:bCs/>
          <w:sz w:val="21"/>
          <w:szCs w:val="21"/>
          <w:lang w:val="en-GB" w:eastAsia="zh-CN"/>
        </w:rPr>
        <w:t xml:space="preserve"> for </w:t>
      </w:r>
      <w:r w:rsidR="00977003" w:rsidRPr="00977003">
        <w:rPr>
          <w:rFonts w:eastAsia="宋体"/>
          <w:bCs/>
          <w:sz w:val="21"/>
          <w:szCs w:val="21"/>
          <w:lang w:val="en-GB" w:eastAsia="zh-CN"/>
        </w:rPr>
        <w:t>NR HST BS demodulation requirements</w:t>
      </w:r>
      <w:r w:rsidR="00977003">
        <w:rPr>
          <w:rFonts w:eastAsia="宋体"/>
          <w:bCs/>
          <w:sz w:val="21"/>
          <w:szCs w:val="21"/>
          <w:lang w:val="en-GB" w:eastAsia="zh-CN"/>
        </w:rPr>
        <w:t>:</w:t>
      </w:r>
    </w:p>
    <w:p w:rsidR="00DE3EBB" w:rsidRDefault="00DE3EBB" w:rsidP="00DE3EBB">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1</w:t>
      </w:r>
      <w:r w:rsidRPr="009C0ACA">
        <w:rPr>
          <w:rFonts w:eastAsia="宋体"/>
          <w:b/>
          <w:bCs/>
          <w:sz w:val="21"/>
          <w:szCs w:val="21"/>
          <w:lang w:val="en-GB" w:eastAsia="zh-CN"/>
        </w:rPr>
        <w:t xml:space="preserve">: </w:t>
      </w:r>
      <w:r>
        <w:rPr>
          <w:rFonts w:eastAsia="宋体"/>
          <w:b/>
          <w:bCs/>
          <w:sz w:val="21"/>
          <w:szCs w:val="21"/>
          <w:lang w:val="en-GB" w:eastAsia="zh-CN"/>
        </w:rPr>
        <w:t xml:space="preserve">Capture performance requirements for multipath fading with high Doppler values in the relevant HST section in order to avoid confusion. </w:t>
      </w:r>
    </w:p>
    <w:p w:rsidR="00DE3EBB" w:rsidRDefault="00DE3EBB" w:rsidP="009B2891">
      <w:pPr>
        <w:pStyle w:val="BodyText"/>
        <w:tabs>
          <w:tab w:val="num" w:pos="226"/>
          <w:tab w:val="num" w:pos="284"/>
          <w:tab w:val="left" w:pos="5103"/>
        </w:tabs>
        <w:snapToGrid w:val="0"/>
        <w:rPr>
          <w:rFonts w:eastAsia="宋体"/>
          <w:b/>
          <w:bCs/>
          <w:sz w:val="21"/>
          <w:szCs w:val="21"/>
          <w:lang w:val="en-GB" w:eastAsia="zh-CN"/>
        </w:rPr>
      </w:pPr>
    </w:p>
    <w:p w:rsidR="00DE3EBB" w:rsidRDefault="00DE3EBB" w:rsidP="00DE3EBB">
      <w:pPr>
        <w:pStyle w:val="BodyText"/>
        <w:tabs>
          <w:tab w:val="num" w:pos="226"/>
          <w:tab w:val="num" w:pos="284"/>
          <w:tab w:val="left" w:pos="5103"/>
        </w:tabs>
        <w:snapToGrid w:val="0"/>
        <w:rPr>
          <w:rFonts w:eastAsia="宋体"/>
          <w:b/>
          <w:bCs/>
          <w:sz w:val="21"/>
          <w:szCs w:val="21"/>
          <w:lang w:val="en-GB" w:eastAsia="zh-CN"/>
        </w:rPr>
      </w:pPr>
      <w:r w:rsidRPr="00DE3EBB">
        <w:rPr>
          <w:rFonts w:eastAsia="宋体"/>
          <w:b/>
          <w:bCs/>
          <w:sz w:val="21"/>
          <w:szCs w:val="21"/>
          <w:lang w:val="en-GB" w:eastAsia="zh-CN"/>
        </w:rPr>
        <w:t>Proposal 2: Have requirements for 15kHz: 10MHz/5MHz; 30kHz: 40MHz/10MHz in order to cover the minimum channel bandwidth for all operating bands.</w:t>
      </w:r>
    </w:p>
    <w:p w:rsidR="00896491" w:rsidRPr="00DE3EBB" w:rsidRDefault="00896491" w:rsidP="00DE3EBB">
      <w:pPr>
        <w:pStyle w:val="BodyText"/>
        <w:tabs>
          <w:tab w:val="num" w:pos="226"/>
          <w:tab w:val="num" w:pos="284"/>
          <w:tab w:val="left" w:pos="5103"/>
        </w:tabs>
        <w:snapToGrid w:val="0"/>
        <w:rPr>
          <w:rFonts w:eastAsia="宋体"/>
          <w:b/>
          <w:bCs/>
          <w:sz w:val="21"/>
          <w:szCs w:val="21"/>
          <w:lang w:val="en-GB" w:eastAsia="zh-CN"/>
        </w:rPr>
      </w:pPr>
    </w:p>
    <w:p w:rsidR="00DE3EBB" w:rsidRPr="00DE3EBB" w:rsidRDefault="00DE3EBB" w:rsidP="00DE3EBB">
      <w:pPr>
        <w:pStyle w:val="BodyText"/>
        <w:tabs>
          <w:tab w:val="num" w:pos="226"/>
          <w:tab w:val="num" w:pos="284"/>
          <w:tab w:val="left" w:pos="5103"/>
        </w:tabs>
        <w:snapToGrid w:val="0"/>
        <w:rPr>
          <w:rFonts w:eastAsia="宋体"/>
          <w:b/>
          <w:bCs/>
          <w:sz w:val="21"/>
          <w:szCs w:val="21"/>
          <w:lang w:val="en-GB" w:eastAsia="zh-CN"/>
        </w:rPr>
      </w:pPr>
      <w:r w:rsidRPr="00DE3EBB">
        <w:rPr>
          <w:rFonts w:eastAsia="宋体"/>
          <w:b/>
          <w:bCs/>
          <w:sz w:val="21"/>
          <w:szCs w:val="21"/>
          <w:lang w:val="en-GB" w:eastAsia="zh-CN"/>
        </w:rPr>
        <w:t>Proposal 3: Re-use non-HST PUSCH applicability for UL TA performance requirements for Scenario X.</w:t>
      </w:r>
    </w:p>
    <w:p w:rsidR="009C0ACA" w:rsidRPr="009C0ACA" w:rsidRDefault="009C0ACA" w:rsidP="00CA4C30">
      <w:pPr>
        <w:pStyle w:val="BodyText"/>
        <w:tabs>
          <w:tab w:val="num" w:pos="226"/>
          <w:tab w:val="num" w:pos="284"/>
          <w:tab w:val="left" w:pos="5103"/>
        </w:tabs>
        <w:snapToGrid w:val="0"/>
        <w:rPr>
          <w:rFonts w:eastAsia="宋体"/>
          <w:bCs/>
          <w:sz w:val="21"/>
          <w:szCs w:val="21"/>
          <w:lang w:val="en-GB" w:eastAsia="zh-CN"/>
        </w:rPr>
      </w:pP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A208FC" w:rsidRPr="004C56CC" w:rsidRDefault="00D0160F" w:rsidP="0004074F">
      <w:pPr>
        <w:pStyle w:val="List2"/>
      </w:pPr>
      <w:r w:rsidRPr="00D0160F">
        <w:t>R</w:t>
      </w:r>
      <w:r w:rsidR="0004074F">
        <w:t xml:space="preserve">4-2012676, </w:t>
      </w:r>
      <w:r w:rsidR="0004074F" w:rsidRPr="0004074F">
        <w:rPr>
          <w:lang w:val="en-US"/>
        </w:rPr>
        <w:t>WF on Rel-16 NR HST BS demodulation requirements</w:t>
      </w:r>
      <w:r w:rsidR="0004074F">
        <w:rPr>
          <w:lang w:val="en-US"/>
        </w:rPr>
        <w:t>, Nokia</w:t>
      </w:r>
    </w:p>
    <w:p w:rsidR="004C56CC" w:rsidRPr="00183F7C" w:rsidRDefault="004C56CC" w:rsidP="004C56CC">
      <w:pPr>
        <w:pStyle w:val="List2"/>
      </w:pPr>
      <w:r>
        <w:rPr>
          <w:lang w:val="en-US"/>
        </w:rPr>
        <w:t xml:space="preserve">R4-2012739, </w:t>
      </w:r>
      <w:r w:rsidRPr="004C56CC">
        <w:rPr>
          <w:lang w:val="en-US"/>
        </w:rPr>
        <w:t>Email discussion summary for [96e][323] NR_HST_Demod_BS</w:t>
      </w:r>
      <w:r>
        <w:rPr>
          <w:lang w:val="en-US"/>
        </w:rPr>
        <w:t>, Nokia</w:t>
      </w:r>
    </w:p>
    <w:sectPr w:rsidR="004C56CC"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FA8" w:rsidRDefault="00234FA8" w:rsidP="00E7784C">
      <w:r>
        <w:separator/>
      </w:r>
    </w:p>
  </w:endnote>
  <w:endnote w:type="continuationSeparator" w:id="0">
    <w:p w:rsidR="00234FA8" w:rsidRDefault="00234FA8"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010D92" w:rsidRPr="00010D92">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FA8" w:rsidRDefault="00234FA8" w:rsidP="00E7784C">
      <w:r>
        <w:separator/>
      </w:r>
    </w:p>
  </w:footnote>
  <w:footnote w:type="continuationSeparator" w:id="0">
    <w:p w:rsidR="00234FA8" w:rsidRDefault="00234FA8"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264AEE"/>
    <w:multiLevelType w:val="hybridMultilevel"/>
    <w:tmpl w:val="B92439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19"/>
  </w:num>
  <w:num w:numId="4">
    <w:abstractNumId w:val="12"/>
  </w:num>
  <w:num w:numId="5">
    <w:abstractNumId w:val="15"/>
  </w:num>
  <w:num w:numId="6">
    <w:abstractNumId w:val="0"/>
  </w:num>
  <w:num w:numId="7">
    <w:abstractNumId w:val="20"/>
  </w:num>
  <w:num w:numId="8">
    <w:abstractNumId w:val="8"/>
  </w:num>
  <w:num w:numId="9">
    <w:abstractNumId w:val="6"/>
  </w:num>
  <w:num w:numId="10">
    <w:abstractNumId w:val="14"/>
  </w:num>
  <w:num w:numId="11">
    <w:abstractNumId w:val="2"/>
  </w:num>
  <w:num w:numId="12">
    <w:abstractNumId w:val="19"/>
  </w:num>
  <w:num w:numId="13">
    <w:abstractNumId w:val="19"/>
  </w:num>
  <w:num w:numId="14">
    <w:abstractNumId w:val="19"/>
  </w:num>
  <w:num w:numId="15">
    <w:abstractNumId w:val="11"/>
  </w:num>
  <w:num w:numId="16">
    <w:abstractNumId w:val="16"/>
  </w:num>
  <w:num w:numId="17">
    <w:abstractNumId w:val="19"/>
  </w:num>
  <w:num w:numId="18">
    <w:abstractNumId w:val="5"/>
  </w:num>
  <w:num w:numId="19">
    <w:abstractNumId w:val="9"/>
  </w:num>
  <w:num w:numId="20">
    <w:abstractNumId w:val="3"/>
  </w:num>
  <w:num w:numId="21">
    <w:abstractNumId w:val="10"/>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22"/>
  </w:num>
  <w:num w:numId="28">
    <w:abstractNumId w:val="21"/>
  </w:num>
  <w:num w:numId="29">
    <w:abstractNumId w:val="13"/>
  </w:num>
  <w:num w:numId="3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0D92"/>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74F"/>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022"/>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328B"/>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4FA8"/>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009C"/>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3BBC"/>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E764F"/>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6CC"/>
    <w:rsid w:val="004C5B13"/>
    <w:rsid w:val="004C649B"/>
    <w:rsid w:val="004C79CB"/>
    <w:rsid w:val="004D14D8"/>
    <w:rsid w:val="004D2689"/>
    <w:rsid w:val="004D27A5"/>
    <w:rsid w:val="004D27B1"/>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259A"/>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1F83"/>
    <w:rsid w:val="005F312A"/>
    <w:rsid w:val="005F4AEF"/>
    <w:rsid w:val="005F4EE6"/>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A4F46"/>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24"/>
    <w:rsid w:val="007043BD"/>
    <w:rsid w:val="007046C6"/>
    <w:rsid w:val="00704CB0"/>
    <w:rsid w:val="00705B20"/>
    <w:rsid w:val="00705D19"/>
    <w:rsid w:val="00705ED7"/>
    <w:rsid w:val="00707604"/>
    <w:rsid w:val="007078BB"/>
    <w:rsid w:val="00707C3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39FF"/>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CA2"/>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491"/>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2C4"/>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03"/>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886"/>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5881"/>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5D08"/>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15C"/>
    <w:rsid w:val="00C767CF"/>
    <w:rsid w:val="00C771FD"/>
    <w:rsid w:val="00C808D7"/>
    <w:rsid w:val="00C80A26"/>
    <w:rsid w:val="00C816ED"/>
    <w:rsid w:val="00C836BB"/>
    <w:rsid w:val="00C843B5"/>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6FED"/>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3EBB"/>
    <w:rsid w:val="00DE42FC"/>
    <w:rsid w:val="00DE4579"/>
    <w:rsid w:val="00DE557A"/>
    <w:rsid w:val="00DE5D04"/>
    <w:rsid w:val="00DE62FD"/>
    <w:rsid w:val="00DE74CF"/>
    <w:rsid w:val="00DF2968"/>
    <w:rsid w:val="00DF2BF5"/>
    <w:rsid w:val="00DF47CE"/>
    <w:rsid w:val="00DF74C6"/>
    <w:rsid w:val="00DF7D25"/>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0F12"/>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7F8251-9309-442C-B733-D773D2923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3</cp:revision>
  <cp:lastPrinted>2015-02-02T11:17:00Z</cp:lastPrinted>
  <dcterms:created xsi:type="dcterms:W3CDTF">2020-10-23T09:09:00Z</dcterms:created>
  <dcterms:modified xsi:type="dcterms:W3CDTF">2020-10-23T09:09:00Z</dcterms:modified>
</cp:coreProperties>
</file>